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8B" w:rsidRDefault="00BA798B">
      <w:pPr>
        <w:ind w:firstLine="0"/>
        <w:rPr>
          <w:rFonts w:ascii="PT Astra Serif" w:hAnsi="PT Astra Serif"/>
          <w:sz w:val="24"/>
          <w:szCs w:val="24"/>
        </w:rPr>
      </w:pPr>
    </w:p>
    <w:p w:rsidR="00BA798B" w:rsidRDefault="008D5743">
      <w:pPr>
        <w:tabs>
          <w:tab w:val="center" w:pos="4153"/>
          <w:tab w:val="right" w:pos="8306"/>
          <w:tab w:val="right" w:pos="10200"/>
        </w:tabs>
        <w:jc w:val="right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>Приложение №1</w:t>
      </w:r>
    </w:p>
    <w:p w:rsidR="00BA798B" w:rsidRDefault="008D5743">
      <w:pPr>
        <w:tabs>
          <w:tab w:val="center" w:pos="4153"/>
          <w:tab w:val="right" w:pos="8306"/>
          <w:tab w:val="right" w:pos="10200"/>
        </w:tabs>
        <w:jc w:val="right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 xml:space="preserve">к муниципальному контракту </w:t>
      </w: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8D5743">
      <w:pPr>
        <w:contextualSpacing/>
        <w:jc w:val="center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Описание объекта закупки (Техническое задание)</w:t>
      </w:r>
    </w:p>
    <w:p w:rsidR="00BA798B" w:rsidRDefault="008D5743">
      <w:pPr>
        <w:ind w:right="-1"/>
        <w:contextualSpacing/>
        <w:jc w:val="center"/>
        <w:outlineLvl w:val="0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Оказание услуг по лабораторному сопровождению объекта «Реконструкция </w:t>
      </w:r>
      <w:r>
        <w:rPr>
          <w:rFonts w:ascii="PT Astra Serif" w:hAnsi="PT Astra Serif"/>
          <w:b/>
          <w:bCs/>
          <w:sz w:val="24"/>
          <w:szCs w:val="24"/>
        </w:rPr>
        <w:t xml:space="preserve">улицы 40 лет Победы в городе </w:t>
      </w:r>
      <w:proofErr w:type="spellStart"/>
      <w:r>
        <w:rPr>
          <w:rFonts w:ascii="PT Astra Serif" w:hAnsi="PT Astra Serif"/>
          <w:b/>
          <w:bCs/>
          <w:sz w:val="24"/>
          <w:szCs w:val="24"/>
        </w:rPr>
        <w:t>Югорске</w:t>
      </w:r>
      <w:proofErr w:type="spellEnd"/>
      <w:r>
        <w:rPr>
          <w:rFonts w:ascii="PT Astra Serif" w:hAnsi="PT Astra Serif"/>
          <w:b/>
          <w:bCs/>
          <w:sz w:val="24"/>
          <w:szCs w:val="24"/>
        </w:rPr>
        <w:t>»</w:t>
      </w:r>
      <w:r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 xml:space="preserve"> </w:t>
      </w:r>
    </w:p>
    <w:p w:rsidR="00BA798B" w:rsidRDefault="00BA798B">
      <w:pPr>
        <w:contextualSpacing/>
        <w:jc w:val="center"/>
        <w:outlineLvl w:val="0"/>
        <w:rPr>
          <w:rFonts w:ascii="PT Astra Serif" w:eastAsia="Times New Roman" w:hAnsi="PT Astra Serif"/>
          <w:b/>
          <w:bCs/>
          <w:caps/>
          <w:sz w:val="24"/>
          <w:szCs w:val="24"/>
          <w:lang w:eastAsia="ru-RU"/>
        </w:rPr>
      </w:pPr>
    </w:p>
    <w:p w:rsidR="00BA798B" w:rsidRDefault="008D5743">
      <w:pPr>
        <w:ind w:right="-1"/>
        <w:contextualSpacing/>
        <w:outlineLvl w:val="0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bCs/>
          <w:sz w:val="24"/>
          <w:szCs w:val="24"/>
        </w:rPr>
        <w:t>1.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Оказание услуг</w:t>
      </w:r>
      <w:r>
        <w:rPr>
          <w:rFonts w:ascii="PT Astra Serif" w:eastAsia="Times New Roman" w:hAnsi="PT Astra Serif"/>
          <w:sz w:val="24"/>
          <w:szCs w:val="24"/>
        </w:rPr>
        <w:t xml:space="preserve"> по лабораторному сопровождению объекта «</w:t>
      </w:r>
      <w:r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Реконструкция </w:t>
      </w:r>
      <w:r>
        <w:rPr>
          <w:rFonts w:ascii="PT Astra Serif" w:hAnsi="PT Astra Serif"/>
          <w:bCs/>
          <w:sz w:val="24"/>
          <w:szCs w:val="24"/>
        </w:rPr>
        <w:t xml:space="preserve">улицы 40 лет Победы в городе </w:t>
      </w:r>
      <w:proofErr w:type="spellStart"/>
      <w:r>
        <w:rPr>
          <w:rFonts w:ascii="PT Astra Serif" w:hAnsi="PT Astra Serif"/>
          <w:bCs/>
          <w:sz w:val="24"/>
          <w:szCs w:val="24"/>
        </w:rPr>
        <w:t>Югорске</w:t>
      </w:r>
      <w:proofErr w:type="spellEnd"/>
      <w:r>
        <w:rPr>
          <w:rFonts w:ascii="PT Astra Serif" w:hAnsi="PT Astra Serif"/>
          <w:bCs/>
          <w:sz w:val="24"/>
          <w:szCs w:val="24"/>
        </w:rPr>
        <w:t>».</w:t>
      </w:r>
    </w:p>
    <w:p w:rsidR="00BA798B" w:rsidRDefault="008D5743">
      <w:pPr>
        <w:widowControl w:val="0"/>
        <w:shd w:val="clear" w:color="auto" w:fill="FFFFFF"/>
        <w:ind w:right="-1"/>
        <w:contextualSpacing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bCs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  <w:lang w:eastAsia="ru-RU"/>
        </w:rPr>
        <w:t xml:space="preserve"> Место </w:t>
      </w: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оказания услуг</w:t>
      </w:r>
      <w:r>
        <w:rPr>
          <w:rFonts w:ascii="PT Astra Serif" w:hAnsi="PT Astra Serif"/>
          <w:sz w:val="24"/>
          <w:szCs w:val="24"/>
          <w:lang w:eastAsia="ru-RU"/>
        </w:rPr>
        <w:t>:</w:t>
      </w:r>
      <w:r>
        <w:rPr>
          <w:rFonts w:ascii="PT Astra Serif" w:hAnsi="PT Astra Serif"/>
          <w:sz w:val="24"/>
          <w:szCs w:val="24"/>
        </w:rPr>
        <w:t xml:space="preserve"> Ханты-Мансийский автономный округ - Югра, г. Югорск, ул. 40 лет Победы </w:t>
      </w:r>
    </w:p>
    <w:p w:rsidR="00BA798B" w:rsidRDefault="008D5743">
      <w:pPr>
        <w:rPr>
          <w:rFonts w:ascii="PT Astra Serif" w:eastAsia="Times New Roman" w:hAnsi="PT Astra Serif"/>
          <w:color w:val="FF0000"/>
          <w:sz w:val="24"/>
          <w:szCs w:val="24"/>
          <w:lang w:eastAsia="ru-RU"/>
        </w:rPr>
      </w:pPr>
      <w:r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3.</w:t>
      </w: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 Сроки </w:t>
      </w: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оказания услуг</w:t>
      </w:r>
      <w:r>
        <w:rPr>
          <w:rFonts w:ascii="PT Astra Serif" w:eastAsia="Times New Roman" w:hAnsi="PT Astra Serif"/>
          <w:sz w:val="24"/>
          <w:szCs w:val="24"/>
          <w:lang w:eastAsia="ru-RU"/>
        </w:rPr>
        <w:t>:</w:t>
      </w:r>
      <w:r>
        <w:rPr>
          <w:rFonts w:ascii="PT Astra Serif" w:eastAsia="Times New Roman" w:hAnsi="PT Astra Serif"/>
          <w:color w:val="FF0000"/>
          <w:sz w:val="24"/>
          <w:szCs w:val="24"/>
          <w:lang w:eastAsia="ru-RU"/>
        </w:rPr>
        <w:t xml:space="preserve"> </w:t>
      </w:r>
    </w:p>
    <w:p w:rsidR="00BA798B" w:rsidRDefault="008D5743">
      <w:pPr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-</w:t>
      </w:r>
      <w:r>
        <w:rPr>
          <w:rFonts w:ascii="PT Astra Serif" w:hAnsi="PT Astra Serif"/>
          <w:sz w:val="24"/>
          <w:szCs w:val="24"/>
        </w:rPr>
        <w:t xml:space="preserve">начало оказания услуг по контракту – </w:t>
      </w:r>
      <w:proofErr w:type="gramStart"/>
      <w:r>
        <w:rPr>
          <w:rFonts w:ascii="PT Astra Serif" w:hAnsi="PT Astra Serif"/>
          <w:sz w:val="24"/>
          <w:szCs w:val="24"/>
        </w:rPr>
        <w:t>с даты заключения</w:t>
      </w:r>
      <w:proofErr w:type="gramEnd"/>
      <w:r>
        <w:rPr>
          <w:rFonts w:ascii="PT Astra Serif" w:hAnsi="PT Astra Serif"/>
          <w:sz w:val="24"/>
          <w:szCs w:val="24"/>
        </w:rPr>
        <w:t xml:space="preserve"> контракта</w:t>
      </w:r>
    </w:p>
    <w:p w:rsidR="00BA798B" w:rsidRDefault="008D5743">
      <w:pPr>
        <w:widowControl w:val="0"/>
        <w:ind w:right="-1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- окончание – 30.11.2026.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2699"/>
        <w:gridCol w:w="2620"/>
        <w:gridCol w:w="4166"/>
      </w:tblGrid>
      <w:tr w:rsidR="00BA798B"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№ раздела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191" w:type="pct"/>
            <w:gridSpan w:val="2"/>
            <w:tcBorders>
              <w:bottom w:val="single" w:sz="4" w:space="0" w:color="auto"/>
            </w:tcBorders>
          </w:tcPr>
          <w:p w:rsidR="00BA798B" w:rsidRDefault="00BA798B">
            <w:pPr>
              <w:ind w:right="-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BA798B" w:rsidRDefault="008D5743">
            <w:pPr>
              <w:ind w:right="-1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Содержание раздела</w:t>
            </w:r>
          </w:p>
        </w:tc>
      </w:tr>
      <w:tr w:rsidR="00BA798B">
        <w:trPr>
          <w:trHeight w:val="2445"/>
        </w:trPr>
        <w:tc>
          <w:tcPr>
            <w:tcW w:w="540" w:type="pct"/>
            <w:vMerge w:val="restart"/>
            <w:tcBorders>
              <w:right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269" w:type="pct"/>
            <w:vMerge w:val="restart"/>
            <w:tcBorders>
              <w:right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Цель:</w:t>
            </w:r>
          </w:p>
          <w:p w:rsidR="00BA798B" w:rsidRDefault="00BA798B" w:rsidP="007E0BB2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4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Недопущение приемки дорожно-строительных работ, выполненных с нарушениями требований проектной документации, утвержденной в установленном порядке и требований технического регламента «Безопасность автомобильных дорог»</w:t>
            </w:r>
          </w:p>
        </w:tc>
      </w:tr>
      <w:tr w:rsidR="00BA798B">
        <w:trPr>
          <w:trHeight w:val="1404"/>
        </w:trPr>
        <w:tc>
          <w:tcPr>
            <w:tcW w:w="540" w:type="pct"/>
            <w:vMerge/>
            <w:tcBorders>
              <w:right w:val="single" w:sz="4" w:space="0" w:color="auto"/>
            </w:tcBorders>
          </w:tcPr>
          <w:p w:rsidR="00BA798B" w:rsidRDefault="00BA798B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pct"/>
            <w:vMerge/>
            <w:tcBorders>
              <w:right w:val="single" w:sz="4" w:space="0" w:color="auto"/>
            </w:tcBorders>
          </w:tcPr>
          <w:p w:rsidR="00BA798B" w:rsidRDefault="00BA798B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Исходные данные необходимые для проведения лабораторных мероприятий: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618" w:rsidRPr="00B830F8" w:rsidRDefault="004D5618" w:rsidP="004D5618">
            <w:pPr>
              <w:suppressAutoHyphens/>
              <w:ind w:firstLine="0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8645D4">
              <w:rPr>
                <w:rFonts w:ascii="PT Astra Serif" w:hAnsi="PT Astra Serif"/>
                <w:sz w:val="24"/>
                <w:szCs w:val="24"/>
              </w:rPr>
              <w:t>Заказчик</w:t>
            </w:r>
            <w:r>
              <w:rPr>
                <w:rFonts w:ascii="PT Astra Serif" w:hAnsi="PT Astra Serif"/>
                <w:sz w:val="24"/>
                <w:szCs w:val="24"/>
              </w:rPr>
              <w:t>ом</w:t>
            </w:r>
            <w:r w:rsidRPr="008645D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 начала оказания услуг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предоставляется г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рафик производства </w:t>
            </w:r>
            <w:r w:rsidRPr="00B830F8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строительно-монтажных 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работ 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 объекте, проектн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ая документация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 объекту</w:t>
            </w:r>
            <w:r w:rsidRPr="00B830F8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.</w:t>
            </w:r>
          </w:p>
          <w:p w:rsidR="00BA798B" w:rsidRDefault="00BA798B">
            <w:pPr>
              <w:ind w:right="-1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Виды услуг, подлежащие контролю 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</w:tcBorders>
          </w:tcPr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грунтов, песка: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Определение зернового и </w:t>
            </w:r>
            <w:proofErr w:type="spell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микроагрегатного</w:t>
            </w:r>
            <w:proofErr w:type="spell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состава грунта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физико-механических свой</w:t>
            </w:r>
            <w:proofErr w:type="gram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ств гр</w:t>
            </w:r>
            <w:proofErr w:type="gram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унта</w:t>
            </w:r>
          </w:p>
          <w:p w:rsidR="00BA798B" w:rsidRPr="007E0BB2" w:rsidRDefault="008D5743">
            <w:pPr>
              <w:numPr>
                <w:ilvl w:val="0"/>
                <w:numId w:val="21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Контроль плотности грунта в слоях насыпи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щебня: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зернового состава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дробимости</w:t>
            </w:r>
            <w:proofErr w:type="spellEnd"/>
          </w:p>
          <w:p w:rsidR="00BA798B" w:rsidRPr="007E0BB2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насыпной плотности</w:t>
            </w:r>
          </w:p>
          <w:p w:rsidR="00BA798B" w:rsidRDefault="008D5743">
            <w:pPr>
              <w:numPr>
                <w:ilvl w:val="0"/>
                <w:numId w:val="22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Контроль качества уплотнения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асфальтобетона:</w:t>
            </w:r>
          </w:p>
          <w:p w:rsidR="00BA798B" w:rsidRDefault="008D5743">
            <w:pPr>
              <w:numPr>
                <w:ilvl w:val="0"/>
                <w:numId w:val="23"/>
              </w:numP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состава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битума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щебня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песка дробления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минерального порошка для приготовления асфальтобетонной смеси</w:t>
            </w:r>
          </w:p>
          <w:p w:rsidR="00BA798B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битумной эмульсии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испытание асфальтобетона из горячих смесей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Проверка толщины верхнего и нижнего слоя </w:t>
            </w: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асфальтобетонного покрытия 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содержания воздушных пустот верхнего и нижнего слоя асфальтобетонного покрытия</w:t>
            </w:r>
          </w:p>
          <w:p w:rsidR="00BA798B" w:rsidRPr="007E0BB2" w:rsidRDefault="008D5743">
            <w:pPr>
              <w:numPr>
                <w:ilvl w:val="0"/>
                <w:numId w:val="23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Проверка сцепления верхнего и нижнего слоев асфальтобетонного покрытия</w:t>
            </w:r>
          </w:p>
          <w:p w:rsidR="00BA798B" w:rsidRPr="007E0BB2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Испытание бетонных материалов: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Отбор и определение прочности бетона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фактической прочности бетонных материалов (бордюры, лотки)</w:t>
            </w:r>
          </w:p>
          <w:p w:rsidR="00BA798B" w:rsidRPr="007E0BB2" w:rsidRDefault="008D5743">
            <w:pPr>
              <w:numPr>
                <w:ilvl w:val="0"/>
                <w:numId w:val="24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Построение </w:t>
            </w:r>
            <w:proofErr w:type="spellStart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градуировочной</w:t>
            </w:r>
            <w:proofErr w:type="spellEnd"/>
            <w:r w:rsidRPr="007E0BB2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зависимости при контроле прочности бетона неразрушающими методами</w:t>
            </w:r>
          </w:p>
          <w:p w:rsidR="00BA798B" w:rsidRDefault="008D5743">
            <w:pP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4"/>
                <w:szCs w:val="24"/>
                <w:lang w:eastAsia="ru-RU"/>
              </w:rPr>
              <w:t>Освещенность:</w:t>
            </w:r>
          </w:p>
          <w:p w:rsidR="00BA798B" w:rsidRDefault="008D5743">
            <w:pPr>
              <w:numPr>
                <w:ilvl w:val="0"/>
                <w:numId w:val="25"/>
              </w:numPr>
              <w:jc w:val="lef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Определение фактической освещенности автомобильной дороги и тротуаров</w:t>
            </w: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Требования к </w:t>
            </w:r>
            <w:r>
              <w:rPr>
                <w:rFonts w:ascii="PT Astra Serif" w:eastAsia="Times New Roman" w:hAnsi="PT Astra Serif"/>
                <w:b/>
                <w:bCs/>
                <w:sz w:val="24"/>
                <w:szCs w:val="24"/>
                <w:lang w:eastAsia="ru-RU"/>
              </w:rPr>
              <w:t>оказанию услуг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течение 3 (трех) рабочих дней с момента заключения муниципального контракта Стороны в письменной форме согласовывают адреса электронной почты, с использованием которых осуществляется переписка в рамках исполнения Муниципального контракта. Любые изменения согласованных электронных адресов производятся не позднее 1 (одного) рабочего дня с момента таких изменений в письменной форме.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Заказчик имеет право в любой момент времени, направить Исполнителю Задание по электронной почте.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 обеспечивает получение писем, направляемых по согласованным адресам электронной почты, ежедневно с 9.00 по 18.00.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Уполномоченное лицо Исполнителя не позднее следующего рабочего дня за датой получения им Задания по электронной почте прибывает на место, указанное в Задании, осуществляет отбор пробы материалов.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течение 3 (трех) рабочих дней, после даты отбора проб на объекте, Исполнитель выполняет испытания проб материалов и в течени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1 (одного) рабочего дня с даты завершения испытаний направляет протокола по согласованной электронной почте Муниципальному заказчику. </w:t>
            </w: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Информационное сопровождение объекта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ind w:right="-1"/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обязан осуществлять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фотофиксацию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работ по каждому объекту и, по запросу Заказчика, предоставлять фотоматериал процесса отбора проб с возможностью привязки на местности, а также процесса измерения толщины слоев покрытия в адрес Заказчика.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Материалы должны быть наглядными, обзорными. </w:t>
            </w:r>
          </w:p>
          <w:p w:rsidR="00BA798B" w:rsidRDefault="00BA798B">
            <w:pPr>
              <w:tabs>
                <w:tab w:val="left" w:pos="1134"/>
              </w:tabs>
              <w:ind w:right="-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BA798B">
        <w:trPr>
          <w:trHeight w:val="946"/>
        </w:trPr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PT Astra Serif" w:hAnsi="PT Astra Serif"/>
                <w:b/>
                <w:sz w:val="24"/>
                <w:szCs w:val="24"/>
              </w:rPr>
              <w:t>5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Основные технические требования</w:t>
            </w:r>
          </w:p>
        </w:tc>
        <w:tc>
          <w:tcPr>
            <w:tcW w:w="3191" w:type="pct"/>
            <w:gridSpan w:val="2"/>
          </w:tcPr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Исполнитель обязан руководствоваться следующими основными техническими требованиями: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Для анализа проб должны использоваться аттестованные методики в соответствии с ГОСТ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8.563-2009;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Испытания должны проводиться по месту нахождения Исполнителя на поверенном (калиброванном), прошедшем аттестацию в установленном порядке оборудовании;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Записи о первичных наблюдениях и результаты испытаний должны вноситься в прошитые, пронумерованные и скрепленные печатью журналы, соответствующие каждому проводимому испытанию;</w:t>
            </w:r>
          </w:p>
          <w:p w:rsidR="00834BFD" w:rsidRDefault="00834BFD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Должна предоставляться документация, подтверждающая метрологическое обеспечение средств измерений и испытательного оборудования;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Лаборатория должна нести ответственность за выполнение установленных требований к сертификации персонала;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Лаборатория должна обеспечить отсутствие влияния условий окружающей среды на результаты или качество измерений;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Персонал, ответственный за содержание протоколов испытаний, помимо соответствующей квалификации, подготовки, опыта и удовлетворительных знаний по проводимым испытаниям, должен также обладать:</w:t>
            </w:r>
          </w:p>
          <w:p w:rsidR="00BA798B" w:rsidRDefault="008D5743" w:rsidP="008A5DF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необходимым знанием технологии производства объектов испытаний, материалов, продукции или их применения, а также дефектов или возможных ухудшений качества при использовании или обслуживании;</w:t>
            </w:r>
          </w:p>
          <w:p w:rsidR="00BA798B" w:rsidRDefault="008D5743" w:rsidP="008A5DF3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знанием основных требований, содержащихся в законодательстве и стандартах;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 пониманием значимости обнаруженных отклонений по сравнению с нормальным использованием соответствующих изделий, материалов, продукции и др.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Испытательная лаборатория должна быть компетентной для проведения соответствующих испытаний, иметь оборудование, а также расходные материалы, необходимые для проведения испытаний, и средства измерений всех параметров. Иметь аттестат аккредитации испытательной лаборатории и соответствовать требованиям к компетентности предъявляемые ГОСТ ISO/IEC 17025-2019.</w:t>
            </w:r>
          </w:p>
          <w:p w:rsidR="00BA798B" w:rsidRDefault="008D5743" w:rsidP="008A5DF3">
            <w:pPr>
              <w:widowControl w:val="0"/>
              <w:shd w:val="clear" w:color="auto" w:fill="FFFFFF"/>
              <w:tabs>
                <w:tab w:val="left" w:pos="993"/>
              </w:tabs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Испытательное оборудование, средства и методики измерений должны отвечать требованиям стандартов государственной системы обеспечения единства измерений, нормативных документов на методы испытаний. Испытательное оборудование должно быть аттестовано, а средства измерений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поверены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 установленном порядке.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Протокол испытания должен содержать: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-Индивидуальный порядковый номер согласно регистрации Исполнителя;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Номер и дата свидетельства об оценки средств измерений;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Номер и дата протокола испытания;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Объект испытания (вид, тип, марка и т.д.);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Наименование производителя (поставщика) продукции;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Объект реконструкции;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Назначение материала;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Адрес отбора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Акт отбора пробы (№ и дата);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Дату получения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Дату испытания пробы;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Условия проведения испытаний;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Методы испытаний;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Средства измерений и испытательное оборудование;</w:t>
            </w:r>
          </w:p>
          <w:p w:rsidR="00834BFD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Таблицу с показателями результатов испытаний (наименование показателя, единица измерения, требования </w:t>
            </w:r>
            <w:proofErr w:type="gramEnd"/>
          </w:p>
          <w:p w:rsidR="00834BFD" w:rsidRDefault="00834BFD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нормативно-технической документации, результаты испытаний);</w:t>
            </w:r>
            <w:proofErr w:type="gramEnd"/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Заключение на основании результатов испытаний (о соответствии или несоответствии качества испытываемой пробы нормативно-технической документации);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Подписи специалиста проводящего испытания, 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Печать Исполнителя.</w:t>
            </w:r>
          </w:p>
          <w:p w:rsidR="00BA798B" w:rsidRDefault="008D5743" w:rsidP="008A5D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Формат протокола испытаний должен соответствовать каждому виду проводимых испытаний и минимизировать возможность их неверного понимания или неправильного использования.</w:t>
            </w:r>
          </w:p>
        </w:tc>
      </w:tr>
      <w:bookmarkEnd w:id="0"/>
      <w:tr w:rsidR="00BA798B">
        <w:trPr>
          <w:trHeight w:val="1056"/>
        </w:trPr>
        <w:tc>
          <w:tcPr>
            <w:tcW w:w="540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69" w:type="pct"/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Результаты оказанных услуг</w:t>
            </w:r>
          </w:p>
        </w:tc>
        <w:tc>
          <w:tcPr>
            <w:tcW w:w="3191" w:type="pct"/>
            <w:gridSpan w:val="2"/>
          </w:tcPr>
          <w:p w:rsidR="00BA798B" w:rsidRDefault="008D5743">
            <w:pPr>
              <w:widowControl w:val="0"/>
              <w:ind w:right="-1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Результатом </w:t>
            </w:r>
            <w:r>
              <w:rPr>
                <w:rFonts w:ascii="PT Astra Serif" w:hAnsi="PT Astra Serif"/>
                <w:sz w:val="24"/>
                <w:szCs w:val="24"/>
              </w:rPr>
              <w:t>оказанных услуг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является протокол испытаний с заключение о соответствии или несоответствии применяемых на объекте материалов требованиям</w:t>
            </w:r>
            <w:r>
              <w:rPr>
                <w:rFonts w:ascii="PT Astra Serif" w:eastAsia="Times New Roman" w:hAnsi="PT Astra Serif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bCs/>
                <w:sz w:val="24"/>
                <w:szCs w:val="24"/>
              </w:rPr>
              <w:t>на проектно-сметной документации и действующих нормативно-правовых актов.</w:t>
            </w:r>
          </w:p>
          <w:p w:rsidR="00BA798B" w:rsidRDefault="008D5743">
            <w:pPr>
              <w:ind w:right="-1"/>
              <w:rPr>
                <w:rFonts w:ascii="PT Astra Serif" w:hAnsi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3 (трех) экземплярах на бумажном носителе, оформленных на бланке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Исполнителя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, заверенных подписью специалиста, проводящего испытания и скрепленных печатью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Исполнителя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A798B">
        <w:trPr>
          <w:trHeight w:val="416"/>
        </w:trPr>
        <w:tc>
          <w:tcPr>
            <w:tcW w:w="540" w:type="pct"/>
            <w:tcBorders>
              <w:bottom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Нормативно-технические документы</w:t>
            </w:r>
          </w:p>
        </w:tc>
        <w:tc>
          <w:tcPr>
            <w:tcW w:w="3191" w:type="pct"/>
            <w:gridSpan w:val="2"/>
            <w:tcBorders>
              <w:bottom w:val="single" w:sz="4" w:space="0" w:color="auto"/>
            </w:tcBorders>
          </w:tcPr>
          <w:p w:rsidR="00BA798B" w:rsidRDefault="008D5743">
            <w:pPr>
              <w:tabs>
                <w:tab w:val="num" w:pos="0"/>
                <w:tab w:val="left" w:pos="426"/>
              </w:tabs>
              <w:ind w:right="-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 оказании услуг по определению качества дорожно-строительных работ и определения физико-механических свойств дорожно-строительных материалов необходимо руководствоваться требованиями национальных стандартов Российской Федерации и действующими нормативно-техническими документами.</w:t>
            </w:r>
          </w:p>
        </w:tc>
      </w:tr>
      <w:tr w:rsidR="00BA798B">
        <w:trPr>
          <w:trHeight w:val="1374"/>
        </w:trPr>
        <w:tc>
          <w:tcPr>
            <w:tcW w:w="540" w:type="pct"/>
            <w:tcBorders>
              <w:bottom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8</w:t>
            </w:r>
          </w:p>
        </w:tc>
        <w:tc>
          <w:tcPr>
            <w:tcW w:w="1269" w:type="pct"/>
            <w:tcBorders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Состав и содержание услуг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проезд специалистов к месту отбора проб; 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отбор проб на объекте;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- испытание проб; 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оформление протоколов лабораторных испытаний;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доставка Заказчику результата (протоколов испытаний).</w:t>
            </w:r>
          </w:p>
        </w:tc>
      </w:tr>
      <w:tr w:rsidR="00BA798B">
        <w:trPr>
          <w:trHeight w:val="1381"/>
        </w:trPr>
        <w:tc>
          <w:tcPr>
            <w:tcW w:w="540" w:type="pct"/>
            <w:tcBorders>
              <w:top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Порядок передачи результатов услуг</w:t>
            </w:r>
          </w:p>
        </w:tc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98B" w:rsidRDefault="008D5743">
            <w:pPr>
              <w:ind w:right="-1" w:firstLine="600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Исполнитель за свой счет осуществляет доставку Заказчику результата в течение 3 (трех) рабочих дней </w:t>
            </w:r>
            <w:proofErr w:type="gramStart"/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 даты завершения</w:t>
            </w:r>
            <w:proofErr w:type="gramEnd"/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испытаний образцов</w:t>
            </w:r>
            <w:r w:rsidR="00CE0B2D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на бумажном носителе</w:t>
            </w: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.</w:t>
            </w:r>
          </w:p>
          <w:p w:rsidR="00BA798B" w:rsidRDefault="008D5743">
            <w:pPr>
              <w:ind w:right="-1" w:firstLine="60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После завершения испытаний образцов и предоставления в адрес Заказчика всех результатов лабораторных испытаний предоставить в адрес Заказчика:</w:t>
            </w:r>
          </w:p>
          <w:p w:rsidR="00BA798B" w:rsidRDefault="008D5743">
            <w:pPr>
              <w:ind w:right="-1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 Отчет, содержащий акты отбора образцов, протокола испытаний образцов с заключением о соответствии или несоответствии материалов, а также сводную ведомость, содержащую порядковый номер,  количество мест обора. Указанный отчет предоставить Заказчику на бумажном носителе в 2 (двух) экземплярах, заверенный подписью руководителя Исполнителя и печатью Исполнителя.</w:t>
            </w:r>
          </w:p>
        </w:tc>
      </w:tr>
    </w:tbl>
    <w:p w:rsidR="00BA798B" w:rsidRDefault="008D5743">
      <w:pPr>
        <w:widowControl w:val="0"/>
        <w:ind w:right="-1"/>
        <w:rPr>
          <w:rFonts w:ascii="PT Astra Serif" w:eastAsia="Times New Roman" w:hAnsi="PT Astra Serif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Примечание</w:t>
      </w:r>
      <w:r>
        <w:rPr>
          <w:rFonts w:ascii="PT Astra Serif" w:hAnsi="PT Astra Serif"/>
          <w:bCs/>
          <w:sz w:val="24"/>
          <w:szCs w:val="24"/>
        </w:rPr>
        <w:t xml:space="preserve">: В случае внесения изменений (в </w:t>
      </w:r>
      <w:proofErr w:type="spellStart"/>
      <w:r>
        <w:rPr>
          <w:rFonts w:ascii="PT Astra Serif" w:hAnsi="PT Astra Serif"/>
          <w:bCs/>
          <w:sz w:val="24"/>
          <w:szCs w:val="24"/>
        </w:rPr>
        <w:t>т.ч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утраты силы) в нормативные документы, в </w:t>
      </w:r>
      <w:proofErr w:type="spellStart"/>
      <w:r>
        <w:rPr>
          <w:rFonts w:ascii="PT Astra Serif" w:hAnsi="PT Astra Serif"/>
          <w:bCs/>
          <w:sz w:val="24"/>
          <w:szCs w:val="24"/>
        </w:rPr>
        <w:t>т.ч</w:t>
      </w:r>
      <w:proofErr w:type="spellEnd"/>
      <w:r>
        <w:rPr>
          <w:rFonts w:ascii="PT Astra Serif" w:hAnsi="PT Astra Serif"/>
          <w:bCs/>
          <w:sz w:val="24"/>
          <w:szCs w:val="24"/>
        </w:rPr>
        <w:t>. нормативные документы, неучтенные в вышеуказанном перечне, руководствоваться действующими редакциями документов по мере вступления их в законную силу.</w:t>
      </w: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BA798B">
      <w:pPr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BA798B" w:rsidRDefault="008D5743">
      <w:pPr>
        <w:ind w:firstLine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BA798B" w:rsidSect="00834BFD">
      <w:type w:val="continuous"/>
      <w:pgSz w:w="11906" w:h="16838"/>
      <w:pgMar w:top="851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43" w:rsidRDefault="008D5743">
      <w:r>
        <w:separator/>
      </w:r>
    </w:p>
  </w:endnote>
  <w:endnote w:type="continuationSeparator" w:id="0">
    <w:p w:rsidR="008D5743" w:rsidRDefault="008D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43" w:rsidRDefault="008D5743">
      <w:r>
        <w:separator/>
      </w:r>
    </w:p>
  </w:footnote>
  <w:footnote w:type="continuationSeparator" w:id="0">
    <w:p w:rsidR="008D5743" w:rsidRDefault="008D5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7D5"/>
    <w:multiLevelType w:val="hybridMultilevel"/>
    <w:tmpl w:val="86F6146E"/>
    <w:lvl w:ilvl="0" w:tplc="25A80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A6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AC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F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9D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68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4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87D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8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F74B1"/>
    <w:multiLevelType w:val="hybridMultilevel"/>
    <w:tmpl w:val="DB249BCA"/>
    <w:lvl w:ilvl="0" w:tplc="3A761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FA8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222B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E64C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02B5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B2E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FE70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0E10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C422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23B99"/>
    <w:multiLevelType w:val="hybridMultilevel"/>
    <w:tmpl w:val="41A22E6E"/>
    <w:lvl w:ilvl="0" w:tplc="BD1A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F60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06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E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67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8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6A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0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7A3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F0DF3"/>
    <w:multiLevelType w:val="multilevel"/>
    <w:tmpl w:val="666A66A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51759ED"/>
    <w:multiLevelType w:val="multilevel"/>
    <w:tmpl w:val="EE024CC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EC1E45"/>
    <w:multiLevelType w:val="hybridMultilevel"/>
    <w:tmpl w:val="F25C7D34"/>
    <w:lvl w:ilvl="0" w:tplc="975AF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B6D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F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E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C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05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E48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2E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85E34"/>
    <w:multiLevelType w:val="hybridMultilevel"/>
    <w:tmpl w:val="6E727CEC"/>
    <w:lvl w:ilvl="0" w:tplc="0930FB20">
      <w:start w:val="1"/>
      <w:numFmt w:val="bullet"/>
      <w:lvlText w:val="*"/>
      <w:lvlJc w:val="left"/>
    </w:lvl>
    <w:lvl w:ilvl="1" w:tplc="B114C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827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12CD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A1825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4C4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6609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FCDF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8F8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0D4750A"/>
    <w:multiLevelType w:val="hybridMultilevel"/>
    <w:tmpl w:val="7ED4F78C"/>
    <w:lvl w:ilvl="0" w:tplc="657E0B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BB72B31E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DA42CBC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AC4EAE50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AEA4474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FB49640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7D384574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4060CB4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A1DAB85A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33FC1A71"/>
    <w:multiLevelType w:val="multilevel"/>
    <w:tmpl w:val="34680BE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9">
    <w:nsid w:val="34CD4803"/>
    <w:multiLevelType w:val="multilevel"/>
    <w:tmpl w:val="72049B62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0">
    <w:nsid w:val="384D2015"/>
    <w:multiLevelType w:val="multilevel"/>
    <w:tmpl w:val="99D87A1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AA4313"/>
    <w:multiLevelType w:val="multilevel"/>
    <w:tmpl w:val="2C924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957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3DF22FEB"/>
    <w:multiLevelType w:val="multilevel"/>
    <w:tmpl w:val="88DCE2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6DD527D"/>
    <w:multiLevelType w:val="multilevel"/>
    <w:tmpl w:val="8A76470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6F5BD8"/>
    <w:multiLevelType w:val="multilevel"/>
    <w:tmpl w:val="E6AA856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0906BEB"/>
    <w:multiLevelType w:val="multilevel"/>
    <w:tmpl w:val="3BEC16AC"/>
    <w:lvl w:ilvl="0">
      <w:start w:val="11"/>
      <w:numFmt w:val="decimal"/>
      <w:lvlText w:val="%1."/>
      <w:lvlJc w:val="left"/>
      <w:pPr>
        <w:ind w:left="465" w:hanging="465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6">
    <w:nsid w:val="51DC2858"/>
    <w:multiLevelType w:val="hybridMultilevel"/>
    <w:tmpl w:val="E7BEE4C8"/>
    <w:lvl w:ilvl="0" w:tplc="4AB21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F05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68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06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1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8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25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6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2350E"/>
    <w:multiLevelType w:val="multilevel"/>
    <w:tmpl w:val="4398A45C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8">
    <w:nsid w:val="59E31940"/>
    <w:multiLevelType w:val="multilevel"/>
    <w:tmpl w:val="D77E9D4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D0090D"/>
    <w:multiLevelType w:val="multilevel"/>
    <w:tmpl w:val="879ABC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B0156E1"/>
    <w:multiLevelType w:val="hybridMultilevel"/>
    <w:tmpl w:val="6422F404"/>
    <w:lvl w:ilvl="0" w:tplc="C21AE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08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CD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F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EE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44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8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E5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100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A1127"/>
    <w:multiLevelType w:val="multilevel"/>
    <w:tmpl w:val="0FCE993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79532709"/>
    <w:multiLevelType w:val="multilevel"/>
    <w:tmpl w:val="B5724C3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7E171B"/>
    <w:multiLevelType w:val="hybridMultilevel"/>
    <w:tmpl w:val="4A60D0A4"/>
    <w:lvl w:ilvl="0" w:tplc="CF5CB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546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AB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2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E0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8F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4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4">
    <w:abstractNumId w:val="2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pPr>
          <w:ind w:left="0" w:firstLine="567"/>
        </w:pPr>
        <w:rPr>
          <w:rFonts w:ascii="Times New Roman" w:hAnsi="Times New Roman" w:cs="Times New Roman" w:hint="default"/>
        </w:rPr>
      </w:lvl>
    </w:lvlOverride>
  </w:num>
  <w:num w:numId="17">
    <w:abstractNumId w:val="6"/>
    <w:lvlOverride w:ilvl="0">
      <w:lvl w:ilvl="0" w:tplc="0930FB20">
        <w:start w:val="1"/>
        <w:numFmt w:val="bullet"/>
        <w:lvlText w:val="•"/>
        <w:legacy w:legacy="1" w:legacySpace="0" w:legacyIndent="336"/>
        <w:lvlJc w:val="left"/>
        <w:pPr>
          <w:ind w:left="-392" w:firstLine="567"/>
        </w:pPr>
        <w:rPr>
          <w:rFonts w:ascii="Times New Roman" w:hAnsi="Times New Roman" w:cs="Times New Roman" w:hint="default"/>
        </w:rPr>
      </w:lvl>
    </w:lvlOverride>
  </w:num>
  <w:num w:numId="18">
    <w:abstractNumId w:val="19"/>
  </w:num>
  <w:num w:numId="19">
    <w:abstractNumId w:val="3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20"/>
  </w:num>
  <w:num w:numId="24">
    <w:abstractNumId w:val="2"/>
  </w:num>
  <w:num w:numId="25">
    <w:abstractNumId w:val="1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8B"/>
    <w:rsid w:val="004D5618"/>
    <w:rsid w:val="007E0BB2"/>
    <w:rsid w:val="00834BFD"/>
    <w:rsid w:val="008A5DF3"/>
    <w:rsid w:val="008D5743"/>
    <w:rsid w:val="00A5237F"/>
    <w:rsid w:val="00BA798B"/>
    <w:rsid w:val="00C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Calibri" w:eastAsia="Calibri" w:hAnsi="Calibri" w:cs="Times New Roman"/>
    </w:rPr>
  </w:style>
  <w:style w:type="character" w:styleId="afb">
    <w:name w:val="footnote reference"/>
    <w:basedOn w:val="a0"/>
    <w:semiHidden/>
    <w:unhideWhenUsed/>
    <w:rPr>
      <w:vertAlign w:val="superscript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e">
    <w:name w:val="Без интервала Знак"/>
    <w:link w:val="aff"/>
    <w:uiPriority w:val="1"/>
    <w:rPr>
      <w:rFonts w:ascii="Calibri" w:eastAsia="Arial" w:hAnsi="Calibri"/>
      <w:lang w:eastAsia="ar-SA"/>
    </w:rPr>
  </w:style>
  <w:style w:type="paragraph" w:styleId="aff">
    <w:name w:val="No Spacing"/>
    <w:link w:val="afe"/>
    <w:uiPriority w:val="1"/>
    <w:qFormat/>
    <w:pPr>
      <w:ind w:firstLine="0"/>
      <w:jc w:val="left"/>
    </w:pPr>
    <w:rPr>
      <w:rFonts w:ascii="Calibri" w:eastAsia="Arial" w:hAnsi="Calibri"/>
      <w:lang w:eastAsia="ar-SA"/>
    </w:rPr>
  </w:style>
  <w:style w:type="character" w:customStyle="1" w:styleId="afd">
    <w:name w:val="Абзац списка Знак"/>
    <w:link w:val="afc"/>
    <w:uiPriority w:val="34"/>
    <w:qFormat/>
    <w:rPr>
      <w:rFonts w:ascii="Calibri" w:eastAsia="Calibri" w:hAnsi="Calibri" w:cs="Times New Roman"/>
    </w:rPr>
  </w:style>
  <w:style w:type="paragraph" w:styleId="aff0">
    <w:name w:val="Body Text Indent"/>
    <w:basedOn w:val="a"/>
    <w:link w:val="aff1"/>
    <w:uiPriority w:val="99"/>
    <w:unhideWhenUsed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Pr>
      <w:rFonts w:ascii="Calibri" w:eastAsia="Calibri" w:hAnsi="Calibri" w:cs="Times New Roman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Pr>
      <w:color w:val="106BBE"/>
    </w:rPr>
  </w:style>
  <w:style w:type="table" w:styleId="aff3">
    <w:name w:val="Table Grid"/>
    <w:basedOn w:val="a1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pPr>
      <w:widowControl w:val="0"/>
      <w:suppressLineNumbers/>
      <w:ind w:firstLine="0"/>
      <w:jc w:val="lef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s9">
    <w:name w:val="s_9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Calibri" w:hAnsi="Tahoma" w:cs="Tahoma"/>
      <w:sz w:val="16"/>
      <w:szCs w:val="16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9">
    <w:name w:val="Body Text"/>
    <w:basedOn w:val="a"/>
    <w:link w:val="afa"/>
    <w:uiPriority w:val="99"/>
    <w:semiHidden/>
    <w:unhideWhenUsed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Pr>
      <w:rFonts w:ascii="Calibri" w:eastAsia="Calibri" w:hAnsi="Calibri" w:cs="Times New Roman"/>
    </w:rPr>
  </w:style>
  <w:style w:type="character" w:styleId="afb">
    <w:name w:val="footnote reference"/>
    <w:basedOn w:val="a0"/>
    <w:semiHidden/>
    <w:unhideWhenUsed/>
    <w:rPr>
      <w:vertAlign w:val="superscript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customStyle="1" w:styleId="afe">
    <w:name w:val="Без интервала Знак"/>
    <w:link w:val="aff"/>
    <w:uiPriority w:val="1"/>
    <w:rPr>
      <w:rFonts w:ascii="Calibri" w:eastAsia="Arial" w:hAnsi="Calibri"/>
      <w:lang w:eastAsia="ar-SA"/>
    </w:rPr>
  </w:style>
  <w:style w:type="paragraph" w:styleId="aff">
    <w:name w:val="No Spacing"/>
    <w:link w:val="afe"/>
    <w:uiPriority w:val="1"/>
    <w:qFormat/>
    <w:pPr>
      <w:ind w:firstLine="0"/>
      <w:jc w:val="left"/>
    </w:pPr>
    <w:rPr>
      <w:rFonts w:ascii="Calibri" w:eastAsia="Arial" w:hAnsi="Calibri"/>
      <w:lang w:eastAsia="ar-SA"/>
    </w:rPr>
  </w:style>
  <w:style w:type="character" w:customStyle="1" w:styleId="afd">
    <w:name w:val="Абзац списка Знак"/>
    <w:link w:val="afc"/>
    <w:uiPriority w:val="34"/>
    <w:qFormat/>
    <w:rPr>
      <w:rFonts w:ascii="Calibri" w:eastAsia="Calibri" w:hAnsi="Calibri" w:cs="Times New Roman"/>
    </w:rPr>
  </w:style>
  <w:style w:type="paragraph" w:styleId="aff0">
    <w:name w:val="Body Text Indent"/>
    <w:basedOn w:val="a"/>
    <w:link w:val="aff1"/>
    <w:uiPriority w:val="99"/>
    <w:unhideWhenUsed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rPr>
      <w:rFonts w:ascii="Calibri" w:eastAsia="Calibri" w:hAnsi="Calibri" w:cs="Times New Roman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Pr>
      <w:color w:val="106BBE"/>
    </w:rPr>
  </w:style>
  <w:style w:type="table" w:styleId="aff3">
    <w:name w:val="Table Grid"/>
    <w:basedOn w:val="a1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Contents">
    <w:name w:val="Table Contents"/>
    <w:basedOn w:val="a"/>
    <w:pPr>
      <w:widowControl w:val="0"/>
      <w:suppressLineNumbers/>
      <w:ind w:firstLine="0"/>
      <w:jc w:val="lef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s9">
    <w:name w:val="s_9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2E7F-A262-4636-9AA0-D5AAECF8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Зарицкая Марина Викторовна</dc:creator>
  <cp:lastModifiedBy>Скороходова Людмила Сабитовна</cp:lastModifiedBy>
  <cp:revision>129</cp:revision>
  <cp:lastPrinted>2026-02-05T07:01:00Z</cp:lastPrinted>
  <dcterms:created xsi:type="dcterms:W3CDTF">2024-02-02T05:37:00Z</dcterms:created>
  <dcterms:modified xsi:type="dcterms:W3CDTF">2026-02-05T07:07:00Z</dcterms:modified>
</cp:coreProperties>
</file>